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/>
      </w:pPr>
      <w:bookmarkStart w:colFirst="0" w:colLast="0" w:name="_tkmvsch09hta" w:id="0"/>
      <w:bookmarkEnd w:id="0"/>
      <w:r w:rsidDel="00000000" w:rsidR="00000000" w:rsidRPr="00000000">
        <w:rPr>
          <w:rtl w:val="0"/>
        </w:rPr>
        <w:t xml:space="preserve">Hoitotestamentti Hoitotahto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äten minä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tl w:val="0"/>
              </w:rPr>
              <w:t xml:space="preserve">Syntymäaika</w:t>
            </w:r>
            <w:r w:rsidDel="00000000" w:rsidR="00000000" w:rsidRPr="00000000">
              <w:rPr>
                <w:rFonts w:ascii="Droid Sans" w:cs="Droid Sans" w:eastAsia="Droid Sans" w:hAnsi="Droid Sans"/>
                <w:rtl w:val="0"/>
              </w:rPr>
              <w:tab/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määrään, että jos minä vakavan sairauden tai onnettomuuden seurauksena en pysty päättämään omasta hoidostani esimerkiksi tajuttomuuden tai vanhuuden heikkouden vuoksi, ei minua hoidettaessa saa käyttää keinotekoisesti elintoimintoja ylläpitäviä hoitomuotoja /ellei tilani korjautumiseen ole selkeitä perusteita/. Vaikeiden oireiden poistamiseksi tai lievittämiseksi voidaan kuitenkin edellä mainittuja keinojakin tilapäisesti käyttää.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Tehohoitoa voidaan minulle antaa vain, jos voidaan kohtuudella arvioida, että sen antaminen johtaa parempaan tulokseen kuin pelkästään lyhytaikaiseen elämän pitkittymiseen.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Jos toivorikkaana aloitettu hoito osoittautuu tuloksettomaksi, siitä on välittömästi luovuttava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Allekirjoitus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Nimenselvennys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Paikka ja aika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Ammatti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Kotipaikkakunta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Varta vasten kutsuttuina ja samanaikaisesti saapuvilla olevina todistajina vakuutamme täten, että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Hoitotahdon tekijän nimi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jonka hyvin tunnemme, on omakätisesti allekirjoittanut edellä olevan hoitotahdon selittäen sen vakaaksi tahdokseen. Hän on tehnyt tämän hoitotahdon terveellä ja täydellä ymmärryksellä, vapaasta tahdostaan ja käsittäen täysin sen merkityksen.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Paikka ja aika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77k9kzvrkwo6" w:id="1"/>
      <w:bookmarkEnd w:id="1"/>
      <w:r w:rsidDel="00000000" w:rsidR="00000000" w:rsidRPr="00000000">
        <w:rPr>
          <w:rtl w:val="0"/>
        </w:rPr>
        <w:t xml:space="preserve">Kaksi esteetöntä todistajaa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Allekirjoitus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Nimenselvennys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Ammatti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Kotipaikkakunta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rPr>
          <w:trHeight w:val="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Allekirjoitus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Nimenselvennys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Ammatti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Kotipaikkakunta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footerReference r:id="rId6" w:type="first"/>
      <w:pgSz w:h="16834" w:w="11909"/>
      <w:pgMar w:bottom="1440" w:top="1440" w:left="1440" w:right="1440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roid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4320" w:firstLine="72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7200" w:firstLine="720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8640" w:firstLine="0"/>
      <w:contextualSpacing w:val="0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Droid Sans" w:cs="Droid Sans" w:eastAsia="Droid Sans" w:hAnsi="Droid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Playfair Display" w:cs="Playfair Display" w:eastAsia="Playfair Display" w:hAnsi="Playfair Display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Playfair Display" w:cs="Playfair Display" w:eastAsia="Playfair Display" w:hAnsi="Playfair Display"/>
      <w:color w:val="304d79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